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569" w:rsidRDefault="00B35241">
      <w:pPr>
        <w:spacing w:before="100" w:after="100" w:line="360" w:lineRule="auto"/>
        <w:jc w:val="center"/>
        <w:rPr>
          <w:rFonts w:ascii="Times New Roman" w:hAnsi="Times New Roman"/>
          <w:sz w:val="19"/>
          <w:szCs w:val="19"/>
        </w:rPr>
      </w:pPr>
      <w:r>
        <w:rPr>
          <w:rFonts w:ascii="Times New Roman" w:eastAsia="Times New Roman" w:hAnsi="Times New Roman" w:cs="Times New Roman"/>
          <w:b/>
          <w:bCs/>
          <w:sz w:val="19"/>
          <w:szCs w:val="19"/>
          <w:u w:val="single"/>
        </w:rPr>
        <w:t>INFORMACJA O PRZETWARZANIU DANYCH OSOBOWYCH W MYŚL OGÓLNEGO ROZPORZĄDZENIA O OCHRONIE DANYCH OSOBOWYCH obowiązująca od dnia 25.05.2018r.</w:t>
      </w:r>
    </w:p>
    <w:p w:rsidR="007F1569" w:rsidRDefault="00B35241">
      <w:pPr>
        <w:spacing w:after="0" w:line="36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Usługi psychologiczne </w:t>
      </w:r>
      <w:r w:rsidR="00B8383E">
        <w:rPr>
          <w:rFonts w:ascii="Times New Roman" w:eastAsia="Times New Roman" w:hAnsi="Times New Roman" w:cs="Times New Roman"/>
          <w:sz w:val="19"/>
          <w:szCs w:val="19"/>
        </w:rPr>
        <w:t xml:space="preserve">i </w:t>
      </w:r>
      <w:proofErr w:type="spellStart"/>
      <w:r w:rsidR="00B8383E">
        <w:rPr>
          <w:rFonts w:ascii="Times New Roman" w:eastAsia="Times New Roman" w:hAnsi="Times New Roman" w:cs="Times New Roman"/>
          <w:sz w:val="19"/>
          <w:szCs w:val="19"/>
        </w:rPr>
        <w:t>psychoedukacyjne</w:t>
      </w:r>
      <w:proofErr w:type="spellEnd"/>
    </w:p>
    <w:p w:rsidR="007F1569" w:rsidRPr="00F62013" w:rsidRDefault="00B35241">
      <w:pPr>
        <w:spacing w:after="0" w:line="36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br/>
      </w:r>
      <w:r>
        <w:rPr>
          <w:rFonts w:ascii="Times New Roman" w:eastAsia="Times New Roman" w:hAnsi="Times New Roman" w:cs="Times New Roman"/>
          <w:b/>
          <w:bCs/>
          <w:sz w:val="19"/>
          <w:szCs w:val="19"/>
        </w:rPr>
        <w:t>§1 Informacje ogólne</w:t>
      </w:r>
    </w:p>
    <w:p w:rsidR="007F1569" w:rsidRDefault="00B35241">
      <w:pPr>
        <w:spacing w:after="0" w:line="360" w:lineRule="auto"/>
        <w:jc w:val="both"/>
        <w:rPr>
          <w:rFonts w:ascii="Times New Roman" w:eastAsia="Times New Roman" w:hAnsi="Times New Roman" w:cs="Times New Roman"/>
          <w:sz w:val="19"/>
          <w:szCs w:val="19"/>
        </w:rPr>
      </w:pPr>
      <w:r w:rsidRPr="00EC7CB6">
        <w:rPr>
          <w:rFonts w:ascii="Times New Roman" w:eastAsia="Times New Roman" w:hAnsi="Times New Roman" w:cs="Times New Roman"/>
          <w:sz w:val="19"/>
          <w:szCs w:val="19"/>
        </w:rPr>
        <w:t xml:space="preserve">1. Informacja dotyczy osoby </w:t>
      </w:r>
      <w:r w:rsidR="00AD418C" w:rsidRPr="00EC7CB6">
        <w:rPr>
          <w:rFonts w:ascii="Times New Roman" w:eastAsia="Times New Roman" w:hAnsi="Times New Roman" w:cs="Times New Roman"/>
          <w:sz w:val="19"/>
          <w:szCs w:val="19"/>
        </w:rPr>
        <w:t>………………………………</w:t>
      </w:r>
      <w:r w:rsidR="00B8383E">
        <w:rPr>
          <w:rFonts w:ascii="Times New Roman" w:eastAsia="Times New Roman" w:hAnsi="Times New Roman" w:cs="Times New Roman"/>
          <w:sz w:val="19"/>
          <w:szCs w:val="19"/>
        </w:rPr>
        <w:t>...........................</w:t>
      </w:r>
      <w:r w:rsidR="00AD418C" w:rsidRPr="00EC7CB6">
        <w:rPr>
          <w:rFonts w:ascii="Times New Roman" w:eastAsia="Times New Roman" w:hAnsi="Times New Roman" w:cs="Times New Roman"/>
          <w:sz w:val="19"/>
          <w:szCs w:val="19"/>
        </w:rPr>
        <w:t>…..</w:t>
      </w:r>
      <w:r w:rsidR="00F62013" w:rsidRPr="00EC7CB6">
        <w:rPr>
          <w:rFonts w:ascii="Times New Roman" w:eastAsia="Times New Roman" w:hAnsi="Times New Roman" w:cs="Times New Roman"/>
          <w:sz w:val="19"/>
          <w:szCs w:val="19"/>
        </w:rPr>
        <w:t xml:space="preserve">, zwanej dalej "pacjentem", korzystającej z usług </w:t>
      </w:r>
      <w:r w:rsidR="00B8383E">
        <w:rPr>
          <w:rFonts w:ascii="Times New Roman" w:eastAsia="Times New Roman" w:hAnsi="Times New Roman" w:cs="Times New Roman"/>
          <w:sz w:val="19"/>
          <w:szCs w:val="19"/>
        </w:rPr>
        <w:t>GOWOREK ANETTA GABINET PSYCHOTERAPI I PSYCHOEDUKACJI</w:t>
      </w:r>
      <w:r w:rsidR="00F62013" w:rsidRPr="00EC7CB6">
        <w:rPr>
          <w:rFonts w:ascii="Times New Roman" w:eastAsia="Times New Roman" w:hAnsi="Times New Roman" w:cs="Times New Roman"/>
          <w:sz w:val="19"/>
          <w:szCs w:val="19"/>
        </w:rPr>
        <w:t>.</w:t>
      </w:r>
    </w:p>
    <w:p w:rsidR="007F1569" w:rsidRDefault="00B35241">
      <w:pPr>
        <w:spacing w:after="0" w:line="360"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2. Zgodnie z art. 13 ust. 1 Rozporządzenie Parlamentu Europejskiego i Rady z dnia 27 kwietnia 2016 r. w sprawie ochrony osób fizycznych w związku z przetwarzaniem danych osobowych i w sprawie swobodnego przepływu takich danych oraz uchylenia dyrektywy 95/46/WE (Dz. Urz. UE z 4.5.2016 L119) (RODO, zwane dalej "RODO") informuję, iż: Administratorem danych osobowych pacjenta jest właściciel firmy</w:t>
      </w:r>
      <w:r w:rsidR="00EC7CB6">
        <w:rPr>
          <w:rFonts w:ascii="Times New Roman" w:eastAsia="Times New Roman" w:hAnsi="Times New Roman" w:cs="Times New Roman"/>
          <w:sz w:val="19"/>
          <w:szCs w:val="19"/>
        </w:rPr>
        <w:t xml:space="preserve"> </w:t>
      </w:r>
      <w:r w:rsidR="00B8383E">
        <w:rPr>
          <w:rFonts w:ascii="Times New Roman" w:eastAsia="Times New Roman" w:hAnsi="Times New Roman" w:cs="Times New Roman"/>
          <w:sz w:val="19"/>
          <w:szCs w:val="19"/>
        </w:rPr>
        <w:t xml:space="preserve"> ANETTA GOWOREK; GOWOREK ANETTA GABINET PSYCHOTERAPI I PSYCHOEDUKACJI UL. SMUGOWA 13-23A 1A, 97-200 TOMASZÓW MAZ. NIP: 771-186-26-33 </w:t>
      </w:r>
      <w:r>
        <w:rPr>
          <w:rFonts w:ascii="Times New Roman" w:eastAsia="Times New Roman" w:hAnsi="Times New Roman" w:cs="Times New Roman"/>
          <w:sz w:val="19"/>
          <w:szCs w:val="19"/>
        </w:rPr>
        <w:t>, zwany dalej "psychoterapeutą".</w:t>
      </w:r>
    </w:p>
    <w:p w:rsidR="007F1569" w:rsidRDefault="00B35241">
      <w:pPr>
        <w:spacing w:after="0" w:line="360" w:lineRule="auto"/>
        <w:jc w:val="both"/>
        <w:rPr>
          <w:rFonts w:ascii="Times New Roman" w:hAnsi="Times New Roman"/>
          <w:sz w:val="19"/>
          <w:szCs w:val="19"/>
        </w:rPr>
      </w:pPr>
      <w:r>
        <w:rPr>
          <w:rFonts w:ascii="Times New Roman" w:eastAsia="Times New Roman" w:hAnsi="Times New Roman" w:cs="Times New Roman"/>
          <w:sz w:val="19"/>
          <w:szCs w:val="19"/>
        </w:rPr>
        <w:t>3. W sprawach związanych z danymi należy kontaktować się osobiście lub telefonicznie pod numerem</w:t>
      </w:r>
      <w:bookmarkStart w:id="0" w:name="_GoBack"/>
      <w:bookmarkEnd w:id="0"/>
      <w:r w:rsidR="00B8383E">
        <w:rPr>
          <w:rFonts w:ascii="Times New Roman" w:eastAsia="Times New Roman" w:hAnsi="Times New Roman" w:cs="Times New Roman"/>
          <w:sz w:val="19"/>
          <w:szCs w:val="19"/>
        </w:rPr>
        <w:t xml:space="preserve"> 696 203 935</w:t>
      </w:r>
    </w:p>
    <w:p w:rsidR="007F1569" w:rsidRDefault="007F1569">
      <w:pPr>
        <w:spacing w:after="0" w:line="360" w:lineRule="auto"/>
        <w:jc w:val="center"/>
        <w:rPr>
          <w:rFonts w:ascii="Times New Roman" w:hAnsi="Times New Roman"/>
          <w:sz w:val="19"/>
          <w:szCs w:val="19"/>
        </w:rPr>
      </w:pPr>
    </w:p>
    <w:p w:rsidR="007F1569" w:rsidRDefault="00B35241">
      <w:pPr>
        <w:spacing w:after="0" w:line="360" w:lineRule="auto"/>
        <w:jc w:val="center"/>
        <w:rPr>
          <w:rFonts w:ascii="Times New Roman" w:eastAsia="Times New Roman" w:hAnsi="Times New Roman" w:cs="Times New Roman"/>
          <w:sz w:val="19"/>
          <w:szCs w:val="19"/>
        </w:rPr>
      </w:pPr>
      <w:r>
        <w:rPr>
          <w:rFonts w:ascii="Times New Roman" w:eastAsia="Times New Roman" w:hAnsi="Times New Roman" w:cs="Times New Roman"/>
          <w:b/>
          <w:bCs/>
          <w:sz w:val="19"/>
          <w:szCs w:val="19"/>
        </w:rPr>
        <w:t>§2 Informacja o rodzaju przetwarzanych danych oraz podmiotach upoważnionych</w:t>
      </w:r>
    </w:p>
    <w:p w:rsidR="007F1569" w:rsidRDefault="00B35241">
      <w:pPr>
        <w:spacing w:after="0" w:line="360"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1. Dane, które będą przetwarzane w celu świadczenia ustalonych z pacjentem usług znajdujących się w ofercie firmy.</w:t>
      </w:r>
    </w:p>
    <w:p w:rsidR="007F1569" w:rsidRDefault="00B35241">
      <w:pPr>
        <w:numPr>
          <w:ilvl w:val="0"/>
          <w:numId w:val="3"/>
        </w:numPr>
        <w:spacing w:before="100" w:after="100" w:line="360"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dane zwykłe: imię i nazwisk</w:t>
      </w:r>
      <w:r w:rsidR="00F62013">
        <w:rPr>
          <w:rFonts w:ascii="Times New Roman" w:eastAsia="Times New Roman" w:hAnsi="Times New Roman" w:cs="Times New Roman"/>
          <w:sz w:val="19"/>
          <w:szCs w:val="19"/>
        </w:rPr>
        <w:t xml:space="preserve">o, numer telefonu, adres e-mail, </w:t>
      </w:r>
      <w:r w:rsidR="00F62013" w:rsidRPr="00EC7CB6">
        <w:rPr>
          <w:rFonts w:ascii="Times New Roman" w:eastAsia="Times New Roman" w:hAnsi="Times New Roman" w:cs="Times New Roman"/>
          <w:sz w:val="19"/>
          <w:szCs w:val="19"/>
        </w:rPr>
        <w:t>adres zamieszkania lub zameldowania;</w:t>
      </w:r>
    </w:p>
    <w:p w:rsidR="007F1569" w:rsidRDefault="00F62013">
      <w:pPr>
        <w:numPr>
          <w:ilvl w:val="0"/>
          <w:numId w:val="3"/>
        </w:numPr>
        <w:spacing w:before="100" w:after="100" w:line="360"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dane wrażliwe:</w:t>
      </w:r>
      <w:r w:rsidR="00B35241">
        <w:rPr>
          <w:rFonts w:ascii="Times New Roman" w:eastAsia="Times New Roman" w:hAnsi="Times New Roman" w:cs="Times New Roman"/>
          <w:sz w:val="19"/>
          <w:szCs w:val="19"/>
        </w:rPr>
        <w:t xml:space="preserve"> dane o stanie zdrowia, stosowanej obecnie lub w przeszłości farmakoterapii, informacje </w:t>
      </w:r>
      <w:r w:rsidR="00B8383E">
        <w:rPr>
          <w:rFonts w:ascii="Times New Roman" w:eastAsia="Times New Roman" w:hAnsi="Times New Roman" w:cs="Times New Roman"/>
          <w:sz w:val="19"/>
          <w:szCs w:val="19"/>
        </w:rPr>
        <w:br/>
      </w:r>
      <w:r w:rsidR="00B35241">
        <w:rPr>
          <w:rFonts w:ascii="Times New Roman" w:eastAsia="Times New Roman" w:hAnsi="Times New Roman" w:cs="Times New Roman"/>
          <w:sz w:val="19"/>
          <w:szCs w:val="19"/>
        </w:rPr>
        <w:t>o korzystaniu obecnie lub w przeszłości z konsultacji u specjalistów z różnych dziedzin (informacje istotne dla powodzenia realizacji ustalonych usług), informacje biograficzne dotyczące pacjenta oraz jego rodziny (istotne dla powodzenia realizacji ustalonych usług) – np.: o pochodzeniu, rodzinie, pracy.</w:t>
      </w:r>
    </w:p>
    <w:p w:rsidR="007F1569" w:rsidRDefault="00B35241">
      <w:pPr>
        <w:spacing w:before="100" w:after="100" w:line="360"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2. W celu prawidłowej realizacji usług, dane osobowe pacjenta będą udostępniane następującym podmiotom:</w:t>
      </w:r>
    </w:p>
    <w:p w:rsidR="007F1569" w:rsidRDefault="00B35241">
      <w:pPr>
        <w:numPr>
          <w:ilvl w:val="0"/>
          <w:numId w:val="2"/>
        </w:numPr>
        <w:spacing w:before="100" w:after="100" w:line="360"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w przypadku pacjentów odbierających fakturę imienną za usługi - urząd skarbowy właściwy dla osoby fizycznej udzielającej usług, tylko w sytuacji kontroli skarbowej,</w:t>
      </w:r>
    </w:p>
    <w:p w:rsidR="007F1569" w:rsidRDefault="00B35241">
      <w:pPr>
        <w:numPr>
          <w:ilvl w:val="0"/>
          <w:numId w:val="2"/>
        </w:numPr>
        <w:spacing w:after="0" w:line="360"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inni ustaleni z pacjentem specjaliści prowadzący leczenie pacjenta (np.: psychiatra).</w:t>
      </w:r>
    </w:p>
    <w:p w:rsidR="007F1569" w:rsidRDefault="00B35241" w:rsidP="009B3E70">
      <w:pPr>
        <w:spacing w:before="100" w:after="100" w:line="360"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3. Dane pacjenta mogą zostać udostępnione w sytuacji zagrożenia życia lub zdrowia pacjenta, bądź jego otoczenia, tylko w sytuacji odmowy podjęcia przez pacjenta kroków interwencyjnych zapisanych w kontrakcie terapeutycznym lub zawartych ustnie na czas konsultacji diagnostycznych. W tych sytuacjach dane będą przekazane upoważnionej przez pacjenta osobie do kontaktu i/lub policji i/lub pogotowiu ratunkowemu. </w:t>
      </w:r>
    </w:p>
    <w:p w:rsidR="007F1569" w:rsidRDefault="00B35241">
      <w:pPr>
        <w:spacing w:after="0" w:line="360" w:lineRule="auto"/>
        <w:jc w:val="both"/>
        <w:rPr>
          <w:rFonts w:ascii="Times New Roman" w:hAnsi="Times New Roman"/>
          <w:sz w:val="19"/>
          <w:szCs w:val="19"/>
        </w:rPr>
      </w:pPr>
      <w:r>
        <w:rPr>
          <w:rFonts w:ascii="Times New Roman" w:eastAsia="Times New Roman" w:hAnsi="Times New Roman" w:cs="Times New Roman"/>
          <w:sz w:val="19"/>
          <w:szCs w:val="19"/>
        </w:rPr>
        <w:t>4. Dane osobowe pacjenta nie będą przekazywane do państwa trzeciego, ani organizacji międzynarodowej.</w:t>
      </w:r>
    </w:p>
    <w:p w:rsidR="007F1569" w:rsidRDefault="007F1569">
      <w:pPr>
        <w:spacing w:after="0" w:line="360" w:lineRule="auto"/>
        <w:jc w:val="center"/>
        <w:rPr>
          <w:rFonts w:ascii="Times New Roman" w:hAnsi="Times New Roman"/>
          <w:sz w:val="19"/>
          <w:szCs w:val="19"/>
        </w:rPr>
      </w:pPr>
    </w:p>
    <w:p w:rsidR="007F1569" w:rsidRDefault="00B35241">
      <w:pPr>
        <w:spacing w:after="0" w:line="360" w:lineRule="auto"/>
        <w:jc w:val="center"/>
        <w:rPr>
          <w:rFonts w:ascii="Times New Roman" w:eastAsia="Times New Roman" w:hAnsi="Times New Roman" w:cs="Times New Roman"/>
          <w:sz w:val="19"/>
          <w:szCs w:val="19"/>
        </w:rPr>
      </w:pPr>
      <w:r>
        <w:rPr>
          <w:rFonts w:ascii="Times New Roman" w:eastAsia="Times New Roman" w:hAnsi="Times New Roman" w:cs="Times New Roman"/>
          <w:b/>
          <w:bCs/>
          <w:sz w:val="19"/>
          <w:szCs w:val="19"/>
        </w:rPr>
        <w:t>§3 Informacja o procesie przetwarzania oraz prawach pacjenta w odniesieniu do przetwarzanych danych</w:t>
      </w:r>
    </w:p>
    <w:p w:rsidR="007F1569" w:rsidRDefault="00B35241">
      <w:pPr>
        <w:spacing w:after="0" w:line="360"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1. Podane dane nie będą profilowane ani poddawane procesom automatyzowanego podejmowania decyzji. Dane będą przechowywane przez okres najdłużej 2 lat od zakończenia wykonania umowy.</w:t>
      </w:r>
    </w:p>
    <w:p w:rsidR="007F1569" w:rsidRDefault="00B35241">
      <w:pPr>
        <w:spacing w:after="0" w:line="360"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2. Pacjent posiada prawo dostępu do treści swoich danych oraz prawo do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rsidR="007F1569" w:rsidRDefault="00B35241">
      <w:pPr>
        <w:spacing w:before="100" w:after="100" w:line="360"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lastRenderedPageBreak/>
        <w:t>3. Prawo dostępu do treści danych osobowych i wrażliwych zostało określone przez ustawę o zawodzie psychologa, która mówi, że dla dobra pacjenta, notatki własne psychoterapeuty są chronione tajemnicą psychologa oraz służą one psychoterapeucie do rzetelnej realizacji psychoterapii. RODO zakłada dostęp pacjenta na jego żądanie, do całej dokumentacji psychoterapeutycznej, wliczając w to osobiste notatki psychoterapeuty. Psychoterapeuta zakłada, iż dostęp pacjenta do notatek dotyczących przebiegu spotkań stanowi przeszkodę, która uniemożliwia rzetelne wykonanie usług psychoterapeutycznych. W związku z tym, ze względu na niejasność relacji między rozporządzeniem, a ustawą o zawodzie psychologa, pacjent  ma prawo do dwóch decyzji. a) Pacjent może zobowiązać się pisemnie, iż dla dobra procesu leczenia na stałe zrzeka się swoich praw dostępu do notatek osobistych psychoterapeuty. b) Pacjent, który nie zgadza się na brak dostępu do osobistych notatek psychoterapeuty, albo nie może pisemnie zapewnić, iż w przyszłości nie będzie dochodził praw dostępu do tych notatek, może poinformować o tym psychoterapeutę. Jednocześnie pacjent wyraża wtedy zgodę na to, aby psychoterapeuta nie prowadził osobistych notatek, co może w zauważalny sposób obniżyć jakość oferowanych przez psychoterapeutę usług. W sytuacji, w której pacjent nie wyraża zgody na zrzeczenie się praw dostępu do notatek, ani na obniżenie jakości oferowanych usług psychoterapeutycznych, psychoterapeuta zastrzega sobie prawo do odmowy kontynuacji leczenia.</w:t>
      </w:r>
    </w:p>
    <w:p w:rsidR="007F1569" w:rsidRDefault="00B35241">
      <w:pPr>
        <w:spacing w:before="100" w:after="100" w:line="360"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4. Pacjent ma prawo wniesienia skargi, gdy uzna że przetwarzanie jego danych narusza przepisy rozporządzenia. Psychoterapeuta ma obowiązek do ustosunkowania się do skargi w ciągu 30 dni od momentu wniesienia skargi. W sytuacji, gdy psychoterapeuta uzna ją za uzasadnioną z punktu widzenia rozporządzenia, albo pacjent to udowodni, psychoterapeuta ma obowiązek dostosować uzasadnione nieprawidłowości w procedurach przetwarzania danych, zgodnie z wytycznymi rozporządzenia.</w:t>
      </w:r>
    </w:p>
    <w:p w:rsidR="007F1569" w:rsidRDefault="00B35241">
      <w:pPr>
        <w:spacing w:before="100" w:after="100" w:line="360"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5. W kwestiach spornych w zakresie §3 </w:t>
      </w:r>
      <w:r w:rsidR="00EC7CB6">
        <w:rPr>
          <w:rFonts w:ascii="Times New Roman" w:eastAsia="Times New Roman" w:hAnsi="Times New Roman" w:cs="Times New Roman"/>
          <w:sz w:val="19"/>
          <w:szCs w:val="19"/>
        </w:rPr>
        <w:t>pkt</w:t>
      </w:r>
      <w:r>
        <w:rPr>
          <w:rFonts w:ascii="Times New Roman" w:eastAsia="Times New Roman" w:hAnsi="Times New Roman" w:cs="Times New Roman"/>
          <w:sz w:val="19"/>
          <w:szCs w:val="19"/>
        </w:rPr>
        <w:t xml:space="preserve">. 4, pacjent ma prawo wniesienia skargi do organu </w:t>
      </w:r>
      <w:r w:rsidRPr="00EC7CB6">
        <w:rPr>
          <w:rFonts w:ascii="Times New Roman" w:eastAsia="Times New Roman" w:hAnsi="Times New Roman" w:cs="Times New Roman"/>
          <w:sz w:val="19"/>
          <w:szCs w:val="19"/>
        </w:rPr>
        <w:t>nadzorczego</w:t>
      </w:r>
      <w:r w:rsidR="009B3E70" w:rsidRPr="00EC7CB6">
        <w:rPr>
          <w:rFonts w:ascii="Times New Roman" w:eastAsia="Times New Roman" w:hAnsi="Times New Roman" w:cs="Times New Roman"/>
          <w:sz w:val="19"/>
          <w:szCs w:val="19"/>
        </w:rPr>
        <w:t xml:space="preserve"> tj. Prezesa Urzędu Ochrony Danych Osobowych (dalej jako PUODO)</w:t>
      </w:r>
      <w:r w:rsidRPr="00EC7CB6">
        <w:rPr>
          <w:rFonts w:ascii="Times New Roman" w:eastAsia="Times New Roman" w:hAnsi="Times New Roman" w:cs="Times New Roman"/>
          <w:sz w:val="19"/>
          <w:szCs w:val="19"/>
        </w:rPr>
        <w:t>, gdy uzna</w:t>
      </w:r>
      <w:r>
        <w:rPr>
          <w:rFonts w:ascii="Times New Roman" w:eastAsia="Times New Roman" w:hAnsi="Times New Roman" w:cs="Times New Roman"/>
          <w:sz w:val="19"/>
          <w:szCs w:val="19"/>
        </w:rPr>
        <w:t>, że przetwarzanie jego danych narusza przepisy RODO. Zanim tego dokona, wcześniej informuje o tym psychoterapeutę.</w:t>
      </w:r>
    </w:p>
    <w:p w:rsidR="007F1569" w:rsidRDefault="00B35241">
      <w:pPr>
        <w:spacing w:before="100" w:after="100" w:line="360"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6. Podanie przez pacjenta danych jest dobrowolne, aczkolwiek odmowa ich podania jest równoznaczna z brakiem możliwości rzetelnego wykonania stosownej usługi oraz z brakiem możliwości realizacji usługi przez psychoterapeutę.</w:t>
      </w:r>
    </w:p>
    <w:p w:rsidR="007F1569" w:rsidRDefault="00B35241">
      <w:pPr>
        <w:spacing w:before="100" w:after="100" w:line="360" w:lineRule="auto"/>
        <w:jc w:val="both"/>
        <w:rPr>
          <w:rFonts w:ascii="Times New Roman" w:eastAsia="Times New Roman" w:hAnsi="Times New Roman" w:cs="Times New Roman"/>
          <w:b/>
          <w:bCs/>
          <w:sz w:val="19"/>
          <w:szCs w:val="19"/>
        </w:rPr>
      </w:pPr>
      <w:r>
        <w:rPr>
          <w:rFonts w:ascii="Times New Roman" w:eastAsia="Times New Roman" w:hAnsi="Times New Roman" w:cs="Times New Roman"/>
          <w:sz w:val="19"/>
          <w:szCs w:val="19"/>
        </w:rPr>
        <w:t>7. Pacjent w dowolnym momencie ma prawo do wycofania zgody na przetwarzanie danych osobowych, żądania usunięcia tych danych, ich sprostowania i uzupełnienia, zgłoszenia sprzeciwu do przetwarzania danych oraz do żądania ograniczenia przetwarzania danych osobowych. Wycofanie zgody nie ma wpływu na zgodność z prawem przetwarzania, którego dokonano na podstawie zgody pacjenta przed jej wycofaniem. Pacjent może wycofać zgodę w oparciu o osobiste złożenie w pisemnej formie, poprzez osobiste złożenie wycofania zgody lub poprzez przesłanie jej na adres korespondencyjny psychoterapeuty. Wycofanie zgody oraz inne żądania pacjenta względem przetwarzania danych osobowych jest równoznaczne z brakiem możliwości rzetelnego wykonania stosownej usługi oraz z brakiem możliwości realizacji usługi przez psychoterapeutę.</w:t>
      </w:r>
    </w:p>
    <w:p w:rsidR="007F1569" w:rsidRDefault="00B35241">
      <w:pPr>
        <w:spacing w:after="0" w:line="360" w:lineRule="auto"/>
        <w:jc w:val="center"/>
        <w:rPr>
          <w:rFonts w:ascii="Times New Roman" w:eastAsia="Times New Roman" w:hAnsi="Times New Roman" w:cs="Times New Roman"/>
          <w:sz w:val="19"/>
          <w:szCs w:val="19"/>
        </w:rPr>
      </w:pPr>
      <w:r>
        <w:rPr>
          <w:rFonts w:ascii="Times New Roman" w:eastAsia="Times New Roman" w:hAnsi="Times New Roman" w:cs="Times New Roman"/>
          <w:b/>
          <w:bCs/>
          <w:sz w:val="19"/>
          <w:szCs w:val="19"/>
        </w:rPr>
        <w:t>§4 Informacja na temat zmian polityki prywatności</w:t>
      </w:r>
    </w:p>
    <w:p w:rsidR="007F1569" w:rsidRDefault="00B35241">
      <w:pPr>
        <w:spacing w:after="0" w:line="360"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1. Psychoterapeuta zastrzega sobie prawo do wprowadzania zmian w Polityce Prywatności.</w:t>
      </w:r>
    </w:p>
    <w:p w:rsidR="007F1569" w:rsidRDefault="00B35241">
      <w:pPr>
        <w:spacing w:after="0" w:line="360"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2. Psychoterapeuta ma obowiązek informować pacjenta o wszelkich zmianach w Polityce Prywatności.</w:t>
      </w:r>
    </w:p>
    <w:p w:rsidR="00B35241" w:rsidRDefault="00B35241">
      <w:pPr>
        <w:spacing w:after="0" w:line="360" w:lineRule="auto"/>
        <w:jc w:val="both"/>
      </w:pPr>
      <w:r>
        <w:rPr>
          <w:rFonts w:ascii="Times New Roman" w:eastAsia="Times New Roman" w:hAnsi="Times New Roman" w:cs="Times New Roman"/>
          <w:sz w:val="19"/>
          <w:szCs w:val="19"/>
        </w:rPr>
        <w:t>3. Data określona poniżej jest datą obowiązywania Polityki Prywatności w ostatniej wersji.</w:t>
      </w:r>
      <w:r>
        <w:rPr>
          <w:rFonts w:ascii="Times New Roman" w:eastAsia="Times New Roman" w:hAnsi="Times New Roman" w:cs="Times New Roman"/>
          <w:sz w:val="19"/>
          <w:szCs w:val="19"/>
        </w:rPr>
        <w:br/>
        <w:t>Data: 25.05.2018 r.</w:t>
      </w:r>
    </w:p>
    <w:sectPr w:rsidR="00B35241" w:rsidSect="00905323">
      <w:footerReference w:type="default" r:id="rId7"/>
      <w:pgSz w:w="11906" w:h="16838"/>
      <w:pgMar w:top="1417" w:right="1417" w:bottom="1417" w:left="1417" w:header="708" w:footer="708"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B91" w:rsidRDefault="00023B91" w:rsidP="00610725">
      <w:pPr>
        <w:spacing w:after="0" w:line="240" w:lineRule="auto"/>
      </w:pPr>
      <w:r>
        <w:separator/>
      </w:r>
    </w:p>
  </w:endnote>
  <w:endnote w:type="continuationSeparator" w:id="0">
    <w:p w:rsidR="00023B91" w:rsidRDefault="00023B91" w:rsidP="00610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80">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569" w:rsidRDefault="0048412F">
    <w:pPr>
      <w:pStyle w:val="Stopka"/>
      <w:jc w:val="center"/>
    </w:pPr>
    <w:r>
      <w:fldChar w:fldCharType="begin"/>
    </w:r>
    <w:r w:rsidR="00B35241">
      <w:instrText xml:space="preserve"> PAGE </w:instrText>
    </w:r>
    <w:r>
      <w:fldChar w:fldCharType="separate"/>
    </w:r>
    <w:r w:rsidR="00B8383E">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B91" w:rsidRDefault="00023B91" w:rsidP="00610725">
      <w:pPr>
        <w:spacing w:after="0" w:line="240" w:lineRule="auto"/>
      </w:pPr>
      <w:r>
        <w:separator/>
      </w:r>
    </w:p>
  </w:footnote>
  <w:footnote w:type="continuationSeparator" w:id="0">
    <w:p w:rsidR="00023B91" w:rsidRDefault="00023B91" w:rsidP="006107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AD418C"/>
    <w:rsid w:val="00023B91"/>
    <w:rsid w:val="000D7686"/>
    <w:rsid w:val="00230777"/>
    <w:rsid w:val="003C575B"/>
    <w:rsid w:val="0048412F"/>
    <w:rsid w:val="00587794"/>
    <w:rsid w:val="00706766"/>
    <w:rsid w:val="00716DE6"/>
    <w:rsid w:val="007F1569"/>
    <w:rsid w:val="00905323"/>
    <w:rsid w:val="009B3E70"/>
    <w:rsid w:val="00AD418C"/>
    <w:rsid w:val="00B35241"/>
    <w:rsid w:val="00B8383E"/>
    <w:rsid w:val="00C60565"/>
    <w:rsid w:val="00EC7CB6"/>
    <w:rsid w:val="00F62013"/>
    <w:rsid w:val="00F819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5323"/>
    <w:pPr>
      <w:suppressAutoHyphens/>
      <w:spacing w:after="200" w:line="276" w:lineRule="auto"/>
    </w:pPr>
    <w:rPr>
      <w:rFonts w:ascii="Calibri" w:eastAsia="SimSun" w:hAnsi="Calibri" w:cs="font180"/>
      <w:sz w:val="22"/>
      <w:szCs w:val="22"/>
      <w:lang w:eastAsia="ar-SA"/>
    </w:rPr>
  </w:style>
  <w:style w:type="paragraph" w:styleId="Nagwek2">
    <w:name w:val="heading 2"/>
    <w:basedOn w:val="Normalny"/>
    <w:next w:val="Tekstpodstawowy"/>
    <w:qFormat/>
    <w:rsid w:val="00905323"/>
    <w:pPr>
      <w:numPr>
        <w:ilvl w:val="1"/>
        <w:numId w:val="1"/>
      </w:numPr>
      <w:spacing w:before="100" w:after="100" w:line="100" w:lineRule="atLeast"/>
      <w:outlineLvl w:val="1"/>
    </w:pPr>
    <w:rPr>
      <w:rFonts w:ascii="Times New Roman" w:eastAsia="Times New Roman" w:hAnsi="Times New Roman" w:cs="Times New Roman"/>
      <w:b/>
      <w:bCs/>
      <w:sz w:val="36"/>
      <w:szCs w:val="36"/>
    </w:rPr>
  </w:style>
  <w:style w:type="paragraph" w:styleId="Nagwek3">
    <w:name w:val="heading 3"/>
    <w:basedOn w:val="Nagwek1"/>
    <w:next w:val="Tekstpodstawowy"/>
    <w:qFormat/>
    <w:rsid w:val="00905323"/>
    <w:pPr>
      <w:numPr>
        <w:ilvl w:val="2"/>
        <w:numId w:val="1"/>
      </w:numPr>
      <w:outlineLvl w:val="2"/>
    </w:pPr>
    <w:rPr>
      <w:rFonts w:ascii="Times New Roman" w:eastAsia="Lucida Sans Unicode" w:hAnsi="Times New Roman" w:cs="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05323"/>
  </w:style>
  <w:style w:type="character" w:customStyle="1" w:styleId="WW8Num1z1">
    <w:name w:val="WW8Num1z1"/>
    <w:rsid w:val="00905323"/>
  </w:style>
  <w:style w:type="character" w:customStyle="1" w:styleId="WW8Num1z2">
    <w:name w:val="WW8Num1z2"/>
    <w:rsid w:val="00905323"/>
  </w:style>
  <w:style w:type="character" w:customStyle="1" w:styleId="WW8Num1z3">
    <w:name w:val="WW8Num1z3"/>
    <w:rsid w:val="00905323"/>
  </w:style>
  <w:style w:type="character" w:customStyle="1" w:styleId="WW8Num1z4">
    <w:name w:val="WW8Num1z4"/>
    <w:rsid w:val="00905323"/>
  </w:style>
  <w:style w:type="character" w:customStyle="1" w:styleId="WW8Num1z5">
    <w:name w:val="WW8Num1z5"/>
    <w:rsid w:val="00905323"/>
  </w:style>
  <w:style w:type="character" w:customStyle="1" w:styleId="WW8Num1z6">
    <w:name w:val="WW8Num1z6"/>
    <w:rsid w:val="00905323"/>
  </w:style>
  <w:style w:type="character" w:customStyle="1" w:styleId="WW8Num1z7">
    <w:name w:val="WW8Num1z7"/>
    <w:rsid w:val="00905323"/>
  </w:style>
  <w:style w:type="character" w:customStyle="1" w:styleId="WW8Num1z8">
    <w:name w:val="WW8Num1z8"/>
    <w:rsid w:val="00905323"/>
  </w:style>
  <w:style w:type="character" w:customStyle="1" w:styleId="WW8Num2z0">
    <w:name w:val="WW8Num2z0"/>
    <w:rsid w:val="00905323"/>
    <w:rPr>
      <w:rFonts w:ascii="Symbol" w:hAnsi="Symbol" w:cs="OpenSymbol"/>
    </w:rPr>
  </w:style>
  <w:style w:type="character" w:customStyle="1" w:styleId="WW8Num3z0">
    <w:name w:val="WW8Num3z0"/>
    <w:rsid w:val="00905323"/>
    <w:rPr>
      <w:rFonts w:ascii="Symbol" w:hAnsi="Symbol" w:cs="OpenSymbol"/>
    </w:rPr>
  </w:style>
  <w:style w:type="character" w:customStyle="1" w:styleId="Domylnaczcionkaakapitu1">
    <w:name w:val="Domyślna czcionka akapitu1"/>
    <w:rsid w:val="00905323"/>
  </w:style>
  <w:style w:type="character" w:customStyle="1" w:styleId="Nagwek2Znak">
    <w:name w:val="Nagłówek 2 Znak"/>
    <w:basedOn w:val="Domylnaczcionkaakapitu1"/>
    <w:rsid w:val="00905323"/>
    <w:rPr>
      <w:rFonts w:ascii="Times New Roman" w:eastAsia="Times New Roman" w:hAnsi="Times New Roman" w:cs="Times New Roman"/>
      <w:b/>
      <w:bCs/>
      <w:sz w:val="36"/>
      <w:szCs w:val="36"/>
    </w:rPr>
  </w:style>
  <w:style w:type="character" w:styleId="Hipercze">
    <w:name w:val="Hyperlink"/>
    <w:basedOn w:val="Domylnaczcionkaakapitu1"/>
    <w:rsid w:val="00905323"/>
    <w:rPr>
      <w:color w:val="0000FF"/>
      <w:u w:val="single"/>
    </w:rPr>
  </w:style>
  <w:style w:type="character" w:customStyle="1" w:styleId="meta-nav">
    <w:name w:val="meta-nav"/>
    <w:basedOn w:val="Domylnaczcionkaakapitu1"/>
    <w:rsid w:val="00905323"/>
  </w:style>
  <w:style w:type="character" w:customStyle="1" w:styleId="NagwekZnak">
    <w:name w:val="Nagłówek Znak"/>
    <w:basedOn w:val="Domylnaczcionkaakapitu1"/>
    <w:rsid w:val="00905323"/>
  </w:style>
  <w:style w:type="character" w:customStyle="1" w:styleId="StopkaZnak">
    <w:name w:val="Stopka Znak"/>
    <w:basedOn w:val="Domylnaczcionkaakapitu1"/>
    <w:rsid w:val="00905323"/>
  </w:style>
  <w:style w:type="character" w:customStyle="1" w:styleId="Znakinumeracji">
    <w:name w:val="Znaki numeracji"/>
    <w:rsid w:val="00905323"/>
  </w:style>
  <w:style w:type="character" w:customStyle="1" w:styleId="Symbolewypunktowania">
    <w:name w:val="Symbole wypunktowania"/>
    <w:rsid w:val="00905323"/>
    <w:rPr>
      <w:rFonts w:ascii="OpenSymbol" w:eastAsia="OpenSymbol" w:hAnsi="OpenSymbol" w:cs="OpenSymbol"/>
    </w:rPr>
  </w:style>
  <w:style w:type="paragraph" w:customStyle="1" w:styleId="Nagwek1">
    <w:name w:val="Nagłówek1"/>
    <w:basedOn w:val="Normalny"/>
    <w:next w:val="Tekstpodstawowy"/>
    <w:rsid w:val="00905323"/>
    <w:pPr>
      <w:keepNext/>
      <w:spacing w:before="240" w:after="120"/>
    </w:pPr>
    <w:rPr>
      <w:rFonts w:ascii="Arial" w:eastAsia="Microsoft YaHei" w:hAnsi="Arial" w:cs="Mangal"/>
      <w:sz w:val="28"/>
      <w:szCs w:val="28"/>
    </w:rPr>
  </w:style>
  <w:style w:type="paragraph" w:styleId="Tekstpodstawowy">
    <w:name w:val="Body Text"/>
    <w:basedOn w:val="Normalny"/>
    <w:rsid w:val="00905323"/>
    <w:pPr>
      <w:spacing w:after="120"/>
    </w:pPr>
  </w:style>
  <w:style w:type="paragraph" w:styleId="Lista">
    <w:name w:val="List"/>
    <w:basedOn w:val="Tekstpodstawowy"/>
    <w:rsid w:val="00905323"/>
    <w:rPr>
      <w:rFonts w:cs="Mangal"/>
    </w:rPr>
  </w:style>
  <w:style w:type="paragraph" w:customStyle="1" w:styleId="Podpis1">
    <w:name w:val="Podpis1"/>
    <w:basedOn w:val="Normalny"/>
    <w:rsid w:val="00905323"/>
    <w:pPr>
      <w:suppressLineNumbers/>
      <w:spacing w:before="120" w:after="120"/>
    </w:pPr>
    <w:rPr>
      <w:rFonts w:cs="Mangal"/>
      <w:i/>
      <w:iCs/>
      <w:sz w:val="24"/>
      <w:szCs w:val="24"/>
    </w:rPr>
  </w:style>
  <w:style w:type="paragraph" w:customStyle="1" w:styleId="Indeks">
    <w:name w:val="Indeks"/>
    <w:basedOn w:val="Normalny"/>
    <w:rsid w:val="00905323"/>
    <w:pPr>
      <w:suppressLineNumbers/>
    </w:pPr>
    <w:rPr>
      <w:rFonts w:cs="Mangal"/>
    </w:rPr>
  </w:style>
  <w:style w:type="paragraph" w:customStyle="1" w:styleId="NormalnyWeb1">
    <w:name w:val="Normalny (Web)1"/>
    <w:basedOn w:val="Normalny"/>
    <w:rsid w:val="00905323"/>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rsid w:val="00905323"/>
    <w:pPr>
      <w:suppressLineNumbers/>
      <w:tabs>
        <w:tab w:val="center" w:pos="4536"/>
        <w:tab w:val="right" w:pos="9072"/>
      </w:tabs>
      <w:spacing w:after="0" w:line="100" w:lineRule="atLeast"/>
    </w:pPr>
  </w:style>
  <w:style w:type="paragraph" w:styleId="Stopka">
    <w:name w:val="footer"/>
    <w:basedOn w:val="Normalny"/>
    <w:rsid w:val="00905323"/>
    <w:pPr>
      <w:suppressLineNumbers/>
      <w:tabs>
        <w:tab w:val="center" w:pos="4536"/>
        <w:tab w:val="right" w:pos="9072"/>
      </w:tabs>
      <w:spacing w:after="0" w:line="100" w:lineRule="atLeast"/>
    </w:pPr>
  </w:style>
  <w:style w:type="character" w:styleId="Odwoaniedokomentarza">
    <w:name w:val="annotation reference"/>
    <w:basedOn w:val="Domylnaczcionkaakapitu"/>
    <w:uiPriority w:val="99"/>
    <w:semiHidden/>
    <w:unhideWhenUsed/>
    <w:rsid w:val="009B3E70"/>
    <w:rPr>
      <w:sz w:val="16"/>
      <w:szCs w:val="16"/>
    </w:rPr>
  </w:style>
  <w:style w:type="paragraph" w:styleId="Tekstkomentarza">
    <w:name w:val="annotation text"/>
    <w:basedOn w:val="Normalny"/>
    <w:link w:val="TekstkomentarzaZnak"/>
    <w:uiPriority w:val="99"/>
    <w:semiHidden/>
    <w:unhideWhenUsed/>
    <w:rsid w:val="009B3E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B3E70"/>
    <w:rPr>
      <w:rFonts w:ascii="Calibri" w:eastAsia="SimSun" w:hAnsi="Calibri" w:cs="font180"/>
      <w:lang w:eastAsia="ar-SA"/>
    </w:rPr>
  </w:style>
  <w:style w:type="paragraph" w:styleId="Tematkomentarza">
    <w:name w:val="annotation subject"/>
    <w:basedOn w:val="Tekstkomentarza"/>
    <w:next w:val="Tekstkomentarza"/>
    <w:link w:val="TematkomentarzaZnak"/>
    <w:uiPriority w:val="99"/>
    <w:semiHidden/>
    <w:unhideWhenUsed/>
    <w:rsid w:val="009B3E70"/>
    <w:rPr>
      <w:b/>
      <w:bCs/>
    </w:rPr>
  </w:style>
  <w:style w:type="character" w:customStyle="1" w:styleId="TematkomentarzaZnak">
    <w:name w:val="Temat komentarza Znak"/>
    <w:basedOn w:val="TekstkomentarzaZnak"/>
    <w:link w:val="Tematkomentarza"/>
    <w:uiPriority w:val="99"/>
    <w:semiHidden/>
    <w:rsid w:val="009B3E70"/>
    <w:rPr>
      <w:rFonts w:ascii="Calibri" w:eastAsia="SimSun" w:hAnsi="Calibri" w:cs="font180"/>
      <w:b/>
      <w:bCs/>
      <w:lang w:eastAsia="ar-SA"/>
    </w:rPr>
  </w:style>
  <w:style w:type="paragraph" w:styleId="Tekstdymka">
    <w:name w:val="Balloon Text"/>
    <w:basedOn w:val="Normalny"/>
    <w:link w:val="TekstdymkaZnak"/>
    <w:uiPriority w:val="99"/>
    <w:semiHidden/>
    <w:unhideWhenUsed/>
    <w:rsid w:val="009B3E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3E70"/>
    <w:rPr>
      <w:rFonts w:ascii="Tahoma" w:eastAsia="SimSu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993</Words>
  <Characters>5961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Darek</cp:lastModifiedBy>
  <cp:revision>3</cp:revision>
  <cp:lastPrinted>2018-08-22T11:50:00Z</cp:lastPrinted>
  <dcterms:created xsi:type="dcterms:W3CDTF">2019-04-21T09:14:00Z</dcterms:created>
  <dcterms:modified xsi:type="dcterms:W3CDTF">2019-04-21T09:34:00Z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